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STANDARD TERMS AND CONDITIONS OF SURVEYING SERVICES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1. Scope of Services</w:t>
      </w:r>
    </w:p>
    <w:p w:rsidR="00000000" w:rsidDel="00000000" w:rsidP="00000000" w:rsidRDefault="00000000" w:rsidRPr="00000000" w14:paraId="00000008">
      <w:pPr>
        <w:rPr/>
      </w:pPr>
      <w:r w:rsidDel="00000000" w:rsidR="00000000" w:rsidRPr="00000000">
        <w:rPr>
          <w:rtl w:val="0"/>
        </w:rPr>
        <w:t xml:space="preserve">Services provided by IME Civil and Surveying (“Consultant”) are limited to those specifically described in the proposal, work order, or invoice. Any additional services requested by the client shall be considered extra services and may result in additional fees.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2. Standard of Care</w:t>
      </w:r>
    </w:p>
    <w:p w:rsidR="00000000" w:rsidDel="00000000" w:rsidP="00000000" w:rsidRDefault="00000000" w:rsidRPr="00000000" w14:paraId="0000000B">
      <w:pPr>
        <w:rPr/>
      </w:pPr>
      <w:r w:rsidDel="00000000" w:rsidR="00000000" w:rsidRPr="00000000">
        <w:rPr>
          <w:rtl w:val="0"/>
        </w:rPr>
        <w:t xml:space="preserve">Consultant shall perform services in accordance with the standard of care ordinarily exercised by licensed professionals providing similar services in the same geographic area and under similar conditions. No warranty, express or implied, is made or intended.</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3. Payment Terms</w:t>
      </w:r>
    </w:p>
    <w:p w:rsidR="00000000" w:rsidDel="00000000" w:rsidP="00000000" w:rsidRDefault="00000000" w:rsidRPr="00000000" w14:paraId="0000000E">
      <w:pPr>
        <w:rPr/>
      </w:pPr>
      <w:r w:rsidDel="00000000" w:rsidR="00000000" w:rsidRPr="00000000">
        <w:rPr>
          <w:rtl w:val="0"/>
        </w:rPr>
        <w:t xml:space="preserve">Payment is due upon receipt unless otherwise stated. Consultant reserves the right to withhold deliverables, suspend services, or charge interest on past due balances.</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4. Professional Liability Coverage Fee (Optional)</w:t>
      </w:r>
    </w:p>
    <w:p w:rsidR="00000000" w:rsidDel="00000000" w:rsidP="00000000" w:rsidRDefault="00000000" w:rsidRPr="00000000" w14:paraId="00000011">
      <w:pPr>
        <w:rPr/>
      </w:pPr>
      <w:r w:rsidDel="00000000" w:rsidR="00000000" w:rsidRPr="00000000">
        <w:rPr>
          <w:rtl w:val="0"/>
        </w:rPr>
        <w:t xml:space="preserve">Consultant offers an optional Professional Liability Coverage Fee as a separate line item on invoices. Payment of this fee constitutes the Client’s election to include enhanced project-specific risk allocation. If declined, services are provided without such enhanced allocation.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5. Limitation of Liability</w:t>
      </w:r>
    </w:p>
    <w:p w:rsidR="00000000" w:rsidDel="00000000" w:rsidP="00000000" w:rsidRDefault="00000000" w:rsidRPr="00000000" w14:paraId="00000014">
      <w:pPr>
        <w:rPr/>
      </w:pPr>
      <w:r w:rsidDel="00000000" w:rsidR="00000000" w:rsidRPr="00000000">
        <w:rPr>
          <w:rtl w:val="0"/>
        </w:rPr>
        <w:t xml:space="preserve">If the Professional Liability Coverage Fee is paid: liability limited to $100,000. If not paid: liability limited to total fees paid to the Consultant.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6. Indemnification</w:t>
      </w:r>
    </w:p>
    <w:p w:rsidR="00000000" w:rsidDel="00000000" w:rsidP="00000000" w:rsidRDefault="00000000" w:rsidRPr="00000000" w14:paraId="00000017">
      <w:pPr>
        <w:rPr/>
      </w:pPr>
      <w:r w:rsidDel="00000000" w:rsidR="00000000" w:rsidRPr="00000000">
        <w:rPr>
          <w:rtl w:val="0"/>
        </w:rPr>
        <w:t xml:space="preserve">Client agrees to indemnify Consultant except for gross negligence or willful misconduct.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7. Reliance and Use of Documents</w:t>
      </w:r>
    </w:p>
    <w:p w:rsidR="00000000" w:rsidDel="00000000" w:rsidP="00000000" w:rsidRDefault="00000000" w:rsidRPr="00000000" w14:paraId="0000001A">
      <w:pPr>
        <w:rPr/>
      </w:pPr>
      <w:r w:rsidDel="00000000" w:rsidR="00000000" w:rsidRPr="00000000">
        <w:rPr>
          <w:rtl w:val="0"/>
        </w:rPr>
        <w:t xml:space="preserve">Prepared for exclusive use of Client.</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8. Site Conditions</w:t>
      </w:r>
    </w:p>
    <w:p w:rsidR="00000000" w:rsidDel="00000000" w:rsidP="00000000" w:rsidRDefault="00000000" w:rsidRPr="00000000" w14:paraId="0000001D">
      <w:pPr>
        <w:rPr/>
      </w:pPr>
      <w:r w:rsidDel="00000000" w:rsidR="00000000" w:rsidRPr="00000000">
        <w:rPr>
          <w:rtl w:val="0"/>
        </w:rPr>
        <w:t xml:space="preserve">Consultant may rely on information provided by Client.</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9. Access to Site</w:t>
      </w:r>
    </w:p>
    <w:p w:rsidR="00000000" w:rsidDel="00000000" w:rsidP="00000000" w:rsidRDefault="00000000" w:rsidRPr="00000000" w14:paraId="00000020">
      <w:pPr>
        <w:rPr/>
      </w:pPr>
      <w:r w:rsidDel="00000000" w:rsidR="00000000" w:rsidRPr="00000000">
        <w:rPr>
          <w:rtl w:val="0"/>
        </w:rPr>
        <w:t xml:space="preserve">Client provides safe access.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10. Dispute Resolution</w:t>
      </w:r>
    </w:p>
    <w:p w:rsidR="00000000" w:rsidDel="00000000" w:rsidP="00000000" w:rsidRDefault="00000000" w:rsidRPr="00000000" w14:paraId="00000023">
      <w:pPr>
        <w:rPr/>
      </w:pPr>
      <w:r w:rsidDel="00000000" w:rsidR="00000000" w:rsidRPr="00000000">
        <w:rPr>
          <w:rtl w:val="0"/>
        </w:rPr>
        <w:t xml:space="preserve">Governed by Florida law.</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b w:val="1"/>
          <w:bCs w:val="1"/>
          <w:rtl w:val="0"/>
        </w:rPr>
        <w:t xml:space="preserve">11. Attorney’s Fees </w:t>
      </w:r>
    </w:p>
    <w:p w:rsidR="00000000" w:rsidDel="00000000" w:rsidP="00000000" w:rsidRDefault="00000000" w:rsidRPr="00000000" w14:paraId="00000026">
      <w:pPr>
        <w:rPr>
          <w:b w:val="1"/>
          <w:bCs w:val="1"/>
        </w:rPr>
      </w:pPr>
      <w:r w:rsidDel="00000000" w:rsidR="00000000" w:rsidRPr="00000000">
        <w:rPr>
          <w:rtl w:val="0"/>
        </w:rPr>
        <w:t xml:space="preserve">The prevailing</w:t>
      </w:r>
      <w:r w:rsidDel="00000000" w:rsidR="00000000" w:rsidRPr="00000000">
        <w:rPr>
          <w:rtl w:val="0"/>
        </w:rPr>
        <w:t xml:space="preserve"> party may recover fees.</w:t>
        <w:br w:type="textWrapping"/>
      </w: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12. Acceptance of Terms</w:t>
      </w:r>
    </w:p>
    <w:p w:rsidR="00000000" w:rsidDel="00000000" w:rsidP="00000000" w:rsidRDefault="00000000" w:rsidRPr="00000000" w14:paraId="00000028">
      <w:pPr>
        <w:rPr/>
      </w:pPr>
      <w:r w:rsidDel="00000000" w:rsidR="00000000" w:rsidRPr="00000000">
        <w:rPr>
          <w:rtl w:val="0"/>
        </w:rPr>
        <w:t xml:space="preserve">Use of services constitutes acceptance.</w:t>
      </w:r>
    </w:p>
    <w:sectPr>
      <w:headerReference r:id="rId6" w:type="default"/>
      <w:headerReference r:id="rId7" w:type="even"/>
      <w:footerReference r:id="rId8" w:type="even"/>
      <w:pgSz w:h="15840" w:w="12240" w:orient="portrait"/>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2852738</wp:posOffset>
          </wp:positionH>
          <wp:positionV relativeFrom="paragraph">
            <wp:posOffset>-342899</wp:posOffset>
          </wp:positionV>
          <wp:extent cx="1152525" cy="115252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2525" cy="11525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